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E05" w:rsidRPr="005A7D46" w:rsidRDefault="00067E05" w:rsidP="005A7D46">
      <w:pPr>
        <w:pStyle w:val="1"/>
        <w:spacing w:before="0" w:beforeAutospacing="0" w:after="0" w:afterAutospacing="0"/>
        <w:ind w:firstLine="709"/>
        <w:jc w:val="center"/>
        <w:rPr>
          <w:rFonts w:eastAsia="Times New Roman"/>
          <w:sz w:val="28"/>
          <w:szCs w:val="28"/>
        </w:rPr>
      </w:pPr>
      <w:r w:rsidRPr="005A7D46">
        <w:rPr>
          <w:rFonts w:eastAsia="Times New Roman"/>
          <w:sz w:val="28"/>
          <w:szCs w:val="28"/>
        </w:rPr>
        <w:t>Учет денежных средств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rStyle w:val="a6"/>
          <w:b w:val="0"/>
          <w:iCs/>
          <w:sz w:val="28"/>
          <w:szCs w:val="28"/>
        </w:rPr>
        <w:t>Объемом имеющихся у предприятия денежных средств, как важнейшего платежного средства, определяется платежеспособность предприятия – одна из самых главных характеристик его финансового положения. В связи с этим очень важен контроль над порядком ведения учета, правильностью и эффективностью использования денежных средств, обеспечением сохранности денежных документов.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Денежные средства предприятий представляют собой совокупность денег, находящихся в кассе, на банковских расчетных, валютных, специальных и депозитных счетах.</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Денежные средства являются единственным видом оборотных средств, обладающих абсолютной ликвидностью, то есть немедленной способностью выступать средством платежа по обязательствам предприятия. Поэтому именно их объемом определяется платежеспособность предприятия. Для определения ее уровня объем денежных средств сопоставляется с размером текущих обязатель</w:t>
      </w:r>
      <w:proofErr w:type="gramStart"/>
      <w:r w:rsidRPr="005A7D46">
        <w:rPr>
          <w:sz w:val="28"/>
          <w:szCs w:val="28"/>
        </w:rPr>
        <w:t>ств пр</w:t>
      </w:r>
      <w:proofErr w:type="gramEnd"/>
      <w:r w:rsidRPr="005A7D46">
        <w:rPr>
          <w:sz w:val="28"/>
          <w:szCs w:val="28"/>
        </w:rPr>
        <w:t>едприятия. Абсолютно платежеспособными считаются предприятия, обладающие достаточным количеством денежных сре</w:t>
      </w:r>
      <w:proofErr w:type="gramStart"/>
      <w:r w:rsidRPr="005A7D46">
        <w:rPr>
          <w:sz w:val="28"/>
          <w:szCs w:val="28"/>
        </w:rPr>
        <w:t>дств дл</w:t>
      </w:r>
      <w:proofErr w:type="gramEnd"/>
      <w:r w:rsidRPr="005A7D46">
        <w:rPr>
          <w:sz w:val="28"/>
          <w:szCs w:val="28"/>
        </w:rPr>
        <w:t>я расчетов по имеющимся у них текущим обязательствам.</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xml:space="preserve">Согласно </w:t>
      </w:r>
      <w:hyperlink r:id="rId4" w:anchor="Статья 13. Элементы финансовой отчетности" w:tgtFrame="_blank" w:history="1">
        <w:r w:rsidRPr="005A7D46">
          <w:rPr>
            <w:rStyle w:val="a3"/>
            <w:sz w:val="28"/>
            <w:szCs w:val="28"/>
          </w:rPr>
          <w:t>статье 13</w:t>
        </w:r>
      </w:hyperlink>
      <w:r w:rsidRPr="005A7D46">
        <w:rPr>
          <w:sz w:val="28"/>
          <w:szCs w:val="28"/>
        </w:rPr>
        <w:t xml:space="preserve"> Закона Республики Казахстан от 28 февраля 2007 года № 234-III «О бухгалтерском учете и финансовой отчетности», элементами финансовой отчетности, связанными с оценкой финансового положения, являются активы, обязательства и капитал.</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rStyle w:val="a6"/>
          <w:b w:val="0"/>
          <w:sz w:val="28"/>
          <w:szCs w:val="28"/>
        </w:rPr>
        <w:t>Активы</w:t>
      </w:r>
      <w:r w:rsidRPr="005A7D46">
        <w:rPr>
          <w:sz w:val="28"/>
          <w:szCs w:val="28"/>
        </w:rPr>
        <w:t xml:space="preserve"> – ресурсы, контролируемые индивидуальным предпринимателем или организацией в результате прошлых событий, от которых ожидается получение будущих экономических выгод.</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rStyle w:val="a6"/>
          <w:b w:val="0"/>
          <w:sz w:val="28"/>
          <w:szCs w:val="28"/>
        </w:rPr>
        <w:t>Обязательство</w:t>
      </w:r>
      <w:r w:rsidRPr="005A7D46">
        <w:rPr>
          <w:sz w:val="28"/>
          <w:szCs w:val="28"/>
        </w:rPr>
        <w:t xml:space="preserve"> – существующая обязанность индивидуального предпринимателя или организации, возникающая из прошлых событий, урегулирование которой приведет к выбытию ресурсов, содержащих экономические выгоды.</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rStyle w:val="a6"/>
          <w:b w:val="0"/>
          <w:sz w:val="28"/>
          <w:szCs w:val="28"/>
        </w:rPr>
        <w:t>Капитал</w:t>
      </w:r>
      <w:r w:rsidRPr="005A7D46">
        <w:rPr>
          <w:sz w:val="28"/>
          <w:szCs w:val="28"/>
        </w:rPr>
        <w:t xml:space="preserve"> – доля в активах индивидуального предпринимателя или организации, остающаяся после вычета всех обязательств.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Основными задачами бухгалтерского учета денежных средств являются:</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проверка правильности оформления, законности документов;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своевременное и полное отражение операций в учете;</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обеспечение своевременности, полноты и правильности расчетов по всем видам платежей;</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своевременное проведение инвентаризации денежных средств и отражение ее результатов в учете;</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lastRenderedPageBreak/>
        <w:t>· обеспечение сохранности денежных средств, денежных документов в кассе предприятия и других местах хранения;</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рациональные вложения свободных денежных средств как источника финансовых инвестиций, приносящих доход;</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создание условий для повседневного контроля над наличием и движением денежных средств.</w:t>
      </w:r>
    </w:p>
    <w:p w:rsidR="00067E05" w:rsidRPr="005A7D46" w:rsidRDefault="00067E05" w:rsidP="005A7D46">
      <w:pPr>
        <w:pStyle w:val="a4"/>
        <w:spacing w:before="0" w:beforeAutospacing="0" w:after="0" w:afterAutospacing="0"/>
        <w:ind w:firstLine="709"/>
        <w:jc w:val="center"/>
        <w:divId w:val="258418484"/>
        <w:rPr>
          <w:sz w:val="28"/>
          <w:szCs w:val="28"/>
          <w:u w:val="single"/>
        </w:rPr>
      </w:pPr>
      <w:r w:rsidRPr="005A7D46">
        <w:rPr>
          <w:rStyle w:val="a6"/>
          <w:b w:val="0"/>
          <w:sz w:val="28"/>
          <w:szCs w:val="28"/>
          <w:u w:val="single"/>
        </w:rPr>
        <w:t>Наличные расчеты</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Организации производят расчеты по своим обязательствам, используя безналичную и наличную формы расчетов.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xml:space="preserve">Требования к приему, выдаче наличных денег, оформлению кассовых документов и к учету подотчетных сумм регламентированы Правилами ведения бухгалтерского учета, утвержденными </w:t>
      </w:r>
      <w:hyperlink r:id="rId5" w:tgtFrame="_blank" w:history="1">
        <w:r w:rsidRPr="005A7D46">
          <w:rPr>
            <w:rStyle w:val="a3"/>
            <w:color w:val="auto"/>
            <w:sz w:val="28"/>
            <w:szCs w:val="28"/>
            <w:u w:val="none"/>
          </w:rPr>
          <w:t>приказом</w:t>
        </w:r>
      </w:hyperlink>
      <w:r w:rsidRPr="005A7D46">
        <w:rPr>
          <w:sz w:val="28"/>
          <w:szCs w:val="28"/>
        </w:rPr>
        <w:t xml:space="preserve"> министра финансов Республики Казахстан от 31 марта 2015 года № 241 (далее – Правила ведения бухгалтерского учета).</w:t>
      </w:r>
    </w:p>
    <w:p w:rsidR="00067E05" w:rsidRPr="005A7D46" w:rsidRDefault="00067E05" w:rsidP="005A7D46">
      <w:pPr>
        <w:pStyle w:val="a4"/>
        <w:spacing w:before="0" w:beforeAutospacing="0" w:after="0" w:afterAutospacing="0"/>
        <w:ind w:firstLine="709"/>
        <w:jc w:val="both"/>
        <w:divId w:val="258418484"/>
        <w:rPr>
          <w:sz w:val="28"/>
          <w:szCs w:val="28"/>
        </w:rPr>
      </w:pPr>
      <w:proofErr w:type="gramStart"/>
      <w:r w:rsidRPr="005A7D46">
        <w:rPr>
          <w:sz w:val="28"/>
          <w:szCs w:val="28"/>
        </w:rPr>
        <w:t xml:space="preserve">Так, прием наличных денег в кассу субъекта производится по приходному кассовому ордеру (его форма утверждена </w:t>
      </w:r>
      <w:hyperlink r:id="rId6" w:tgtFrame="_blank" w:history="1">
        <w:r w:rsidRPr="005A7D46">
          <w:rPr>
            <w:rStyle w:val="a3"/>
            <w:color w:val="auto"/>
            <w:sz w:val="28"/>
            <w:szCs w:val="28"/>
            <w:u w:val="none"/>
          </w:rPr>
          <w:t>приказом</w:t>
        </w:r>
      </w:hyperlink>
      <w:r w:rsidRPr="005A7D46">
        <w:rPr>
          <w:sz w:val="28"/>
          <w:szCs w:val="28"/>
        </w:rPr>
        <w:t xml:space="preserve"> министра финансов Республики Казахстан от 20 декабря 2012 года № 562 «Об утверждении форм первичных учетных документов», подписанному главным бухгалтером или лицом, на то уполномоченным руководством субъекта.</w:t>
      </w:r>
      <w:proofErr w:type="gramEnd"/>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При приеме наличных денег выдается квитанция за подписями главного бухгалтера или лица, на то уполномоченного руководством субъекта, и кассира, заверенная печатью. Индивидуальными предпринимателями заверение печатью производится при ее наличии.</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Выдача наличных денег из кассы производится по расходному кассовому ордеру. Расходный ордер подписывается руководством субъекта, главным бухгалтером или лицом, на то уполномоченным руководством субъекта, и кассиром.</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Все приходные и расходные ордера до передачи их в кассу регистрируются бухгалтерской службой в журнале регистрации приходных и расходных кассовых документов.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При выдаче денег отдельному лицу по расходному ордеру или платежной ведомости, кассир требует предъявления документа, удостоверяющего личность получателя (паспорт или удостоверение личности гражданина), записывает наименование и номер документа, кем и когда он выдан.</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Получатель денег расписывается в расходном ордере или ведомости собственноручно чернилами (шариковой ручкой).</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Выдача наличных денег лицам, не состоящим в списочном составе субъекта, производится по расходным ордерам, выписываемым отдельно на каждое лицо, или по отдельной ведомости на основании заключенных договоров.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lastRenderedPageBreak/>
        <w:t>Выдачу наличных денег кассир производит только лицу, указанному в расходном ордере или платежной ведомости. Если выдача денег производится по доверенности, оформленной в установленном порядке, в тексте ордера указываются фамилия, имя, отчество и наименование, номер, дата и место выдачи документа, удостоверяющего личность лица, которому доверено получение, и фактического получателя наличных денежных средств. Доверенность остается у кассира и прикрепляется к расходному ордеру.</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Оплата труда, выплата пособий по временной нетрудоспособности, стипендий, премий по платежным ведомостям производится кассиром без составления расходного ордера на каждого получателя.</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На общую сумму выданных наличных денег составляется один расходный ордер, дата и номер которого проставляются на каждой платежной ведомости.</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На титульном (заглавном) листе платежной ведомости делается разрешительная надпись о выдаче наличных денег, за подписями руководства субъекта и главного бухгалтера, с указанием сроков выдачи наличных денег и суммы прописью.</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Для учета денежных средств и их эквивалентов, выданных из кассы доверенному лицу (раздатчику) для выплаты заработной платы, а также при возврате остатка наличности и оплаченных документов, применяется книга учета принятых и выданных кассиром денежных средств и их эквивалентов.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xml:space="preserve">В расходных ордерах указывается основание для их </w:t>
      </w:r>
      <w:proofErr w:type="gramStart"/>
      <w:r w:rsidRPr="005A7D46">
        <w:rPr>
          <w:sz w:val="28"/>
          <w:szCs w:val="28"/>
        </w:rPr>
        <w:t>составления</w:t>
      </w:r>
      <w:proofErr w:type="gramEnd"/>
      <w:r w:rsidRPr="005A7D46">
        <w:rPr>
          <w:sz w:val="28"/>
          <w:szCs w:val="28"/>
        </w:rPr>
        <w:t xml:space="preserve"> и перечисляются прилагаемые к ним документы. Расходные ордера или платежные ведомости не выдаются лицам, получающим наличные деньги.</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При получении приходных и расходных ордеров или платежных ведомостей кассир проверяет:</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наличие и подлинность на документах подписи главного бухгалтера, а на расходном ордере или платежной ведомости – разрешительной подписи руководства субъекта;</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правильность оформления документов;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наличие перечисленных в документах приложений.</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В случае несоблюдения хотя бы одного из этих требований кассир возвращает документы в бухгалтерскую службу для надлежащего оформления.</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Расходные ордера, оформленные к платежным ведомостям на выплату заработной платы, регистрируются после ее выдачи.</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Денежные средства, хранящиеся в кассе, учитываются на активном синтетическом счете 1010 «Денежные средства в кассе». В дебет его записывают поступление денежных сре</w:t>
      </w:r>
      <w:proofErr w:type="gramStart"/>
      <w:r w:rsidRPr="005A7D46">
        <w:rPr>
          <w:sz w:val="28"/>
          <w:szCs w:val="28"/>
        </w:rPr>
        <w:t>дств в к</w:t>
      </w:r>
      <w:proofErr w:type="gramEnd"/>
      <w:r w:rsidRPr="005A7D46">
        <w:rPr>
          <w:sz w:val="28"/>
          <w:szCs w:val="28"/>
        </w:rPr>
        <w:t>ассу, а в кредит – выбытие денежных средств из кассы.</w:t>
      </w:r>
    </w:p>
    <w:p w:rsidR="00067E05" w:rsidRPr="005A7D46" w:rsidRDefault="00067E05" w:rsidP="005A7D46">
      <w:pPr>
        <w:pStyle w:val="a4"/>
        <w:spacing w:before="0" w:beforeAutospacing="0" w:after="0" w:afterAutospacing="0"/>
        <w:ind w:firstLine="709"/>
        <w:jc w:val="both"/>
        <w:divId w:val="258418484"/>
        <w:rPr>
          <w:sz w:val="28"/>
          <w:szCs w:val="28"/>
        </w:rPr>
      </w:pPr>
    </w:p>
    <w:p w:rsidR="005A7D46" w:rsidRDefault="005A7D46" w:rsidP="005A7D46">
      <w:pPr>
        <w:pStyle w:val="a4"/>
        <w:spacing w:before="0" w:beforeAutospacing="0" w:after="0" w:afterAutospacing="0"/>
        <w:ind w:firstLine="709"/>
        <w:jc w:val="center"/>
        <w:divId w:val="258418484"/>
        <w:rPr>
          <w:rStyle w:val="a6"/>
          <w:b w:val="0"/>
          <w:sz w:val="28"/>
          <w:szCs w:val="28"/>
          <w:u w:val="single"/>
        </w:rPr>
      </w:pPr>
    </w:p>
    <w:p w:rsidR="00067E05" w:rsidRPr="005A7D46" w:rsidRDefault="005A7D46" w:rsidP="005A7D46">
      <w:pPr>
        <w:pStyle w:val="a4"/>
        <w:spacing w:before="0" w:beforeAutospacing="0" w:after="0" w:afterAutospacing="0"/>
        <w:ind w:firstLine="709"/>
        <w:jc w:val="center"/>
        <w:divId w:val="258418484"/>
        <w:rPr>
          <w:sz w:val="28"/>
          <w:szCs w:val="28"/>
          <w:u w:val="single"/>
        </w:rPr>
      </w:pPr>
      <w:r w:rsidRPr="005A7D46">
        <w:rPr>
          <w:rStyle w:val="a6"/>
          <w:b w:val="0"/>
          <w:sz w:val="28"/>
          <w:szCs w:val="28"/>
          <w:u w:val="single"/>
        </w:rPr>
        <w:lastRenderedPageBreak/>
        <w:t>Безналичные расчеты</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xml:space="preserve">Необходимо знать, что </w:t>
      </w:r>
      <w:hyperlink r:id="rId7" w:tgtFrame="_blank" w:history="1">
        <w:r w:rsidRPr="005A7D46">
          <w:rPr>
            <w:rStyle w:val="a3"/>
            <w:color w:val="auto"/>
            <w:sz w:val="28"/>
            <w:szCs w:val="28"/>
            <w:u w:val="none"/>
          </w:rPr>
          <w:t>Законом</w:t>
        </w:r>
      </w:hyperlink>
      <w:r w:rsidRPr="005A7D46">
        <w:rPr>
          <w:sz w:val="28"/>
          <w:szCs w:val="28"/>
        </w:rPr>
        <w:t xml:space="preserve"> Республики Казахстан от 29 июня 1998 года № 237-I «О платежах и переводах денег» (далее – Закон о платежах и переводах денег) установлены ограничения по осуществлению наличных расчетов между юридическими лицами. Согласно пункту 4-1 </w:t>
      </w:r>
      <w:hyperlink r:id="rId8" w:anchor="Статья 21. Платежи" w:tgtFrame="_blank" w:history="1">
        <w:r w:rsidRPr="005A7D46">
          <w:rPr>
            <w:rStyle w:val="a3"/>
            <w:color w:val="auto"/>
            <w:sz w:val="28"/>
            <w:szCs w:val="28"/>
            <w:u w:val="none"/>
          </w:rPr>
          <w:t>статьи 21</w:t>
        </w:r>
      </w:hyperlink>
      <w:r w:rsidRPr="005A7D46">
        <w:rPr>
          <w:sz w:val="28"/>
          <w:szCs w:val="28"/>
        </w:rPr>
        <w:t xml:space="preserve"> данного закона, платежи между юридическими лицами по сделке, сумма которой превышает 1 000-кратный размер МРП (2 121 000 тенге в 2016 году), установленного законом о республиканском бюджете и действующего на дату совершения платежа, осуществляются только в безналичном порядке.</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Безналичный оборот составляет значительную часть денежных потоков на предприятии и предполагает разрыв во времени между движением товаров и движением денежных средств.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Расчеты безналичными денежными средствами проходят через банковские счета согласно следующим принципам, соблюдение которых позволяет обеспечить своевременность расчетов, их надежность и эффективность:</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безналичные расчеты проводятся по счетам, которые предприятие открывает в банке для хранения и перевода средств;</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расчеты через банк должны сочетаться с экономической самостоятельностью предприятия и его материальной ответственностью за свои действия;</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средства по счетам предприятия перечисляются по поручению плательщика или с его согласия (акцепт). Это дает возможность предприятию-покупателю контролировать выполнение поставщиком основных условий договора, нарушение которых может вызвать полный или частичный отказ от оплаты (акцепта);</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расчеты осуществляются строго в соответствии со сроками, предусмотренными в хозяйственных, кредитных, страховых договорах;</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устанавливается очередность списания со счета клиента денежных сре</w:t>
      </w:r>
      <w:proofErr w:type="gramStart"/>
      <w:r w:rsidRPr="005A7D46">
        <w:rPr>
          <w:sz w:val="28"/>
          <w:szCs w:val="28"/>
        </w:rPr>
        <w:t>дств в сл</w:t>
      </w:r>
      <w:proofErr w:type="gramEnd"/>
      <w:r w:rsidRPr="005A7D46">
        <w:rPr>
          <w:sz w:val="28"/>
          <w:szCs w:val="28"/>
        </w:rPr>
        <w:t>учае их недостатка для осуществления всех платежей.</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В бухгалтерском учете предусмотрено ведение отдельных счетов для отражения операций по каждому отдельному расчетному (валютному) счету.</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Расчетные счета открываются предприятиям, являющимся юридическими лицами и имеющим самостоятельный баланс.</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Денежные средства на текущих банковских счетах учитываются на активном счете 1030 «Денежные средства на текущих банковских счетах». Поступление отражается по дебету, выбытие – по кредиту.</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 xml:space="preserve">Прием и выдача денег или безналичные перечисления производятся банком на основании документов специальной формы, утвержденной им же. Предприятие периодически (ежедневно или в другие установленные банком сроки) получает от банка выписку из расчетного счета, то есть перечень произведенных им за отчетный период операций. К выписке банка прилагаются документы, полученные </w:t>
      </w:r>
      <w:r w:rsidRPr="005A7D46">
        <w:rPr>
          <w:sz w:val="28"/>
          <w:szCs w:val="28"/>
        </w:rPr>
        <w:lastRenderedPageBreak/>
        <w:t>от других предприятий и организаций, на основании которых зачислены или списаны средства, а также документы, выписанные предприятием.</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Выписка банка заменяет собой регистр аналитического учета по расчетному счету и одновременно служит основанием для бухгалтерских записей.</w:t>
      </w:r>
    </w:p>
    <w:p w:rsidR="00067E05" w:rsidRPr="005A7D46" w:rsidRDefault="00067E05" w:rsidP="005A7D46">
      <w:pPr>
        <w:pStyle w:val="a4"/>
        <w:spacing w:before="0" w:beforeAutospacing="0" w:after="0" w:afterAutospacing="0"/>
        <w:ind w:firstLine="709"/>
        <w:jc w:val="both"/>
        <w:divId w:val="258418484"/>
        <w:rPr>
          <w:sz w:val="28"/>
          <w:szCs w:val="28"/>
        </w:rPr>
      </w:pPr>
      <w:r w:rsidRPr="005A7D46">
        <w:rPr>
          <w:sz w:val="28"/>
          <w:szCs w:val="28"/>
        </w:rPr>
        <w:t>Учет денежных переводов в пути ведется на счете 1020 «Денежные средства в пути», которые могут осуществляться в тенге и иностранной валюте. На этом счете находят отражение денежные средства, внесенные в кассы банков, отделений связи для зачисления на расчетный счет или иной счет предприятия, но не зачисленные по назначению до конца отчетного месяца. Основанием для принятия к бухгалтерскому учету денег по данному счету являются выписки и мемориальные ордера банка, квитанции почтовых отделений, копии сопроводительных ведомостей на сдачу выручки инкассаторам банка.</w:t>
      </w:r>
    </w:p>
    <w:p w:rsidR="00067E05" w:rsidRPr="005A7D46" w:rsidRDefault="00067E05" w:rsidP="005A7D46">
      <w:pPr>
        <w:pStyle w:val="a4"/>
        <w:spacing w:before="0" w:beforeAutospacing="0" w:after="0" w:afterAutospacing="0"/>
        <w:ind w:firstLine="709"/>
        <w:jc w:val="both"/>
        <w:divId w:val="258418484"/>
        <w:rPr>
          <w:sz w:val="28"/>
          <w:szCs w:val="28"/>
        </w:rPr>
      </w:pPr>
      <w:proofErr w:type="gramStart"/>
      <w:r w:rsidRPr="005A7D46">
        <w:rPr>
          <w:sz w:val="28"/>
          <w:szCs w:val="28"/>
        </w:rPr>
        <w:t xml:space="preserve">Согласно пункту 4 </w:t>
      </w:r>
      <w:hyperlink r:id="rId9" w:anchor="Статья 11. Платежная карточка" w:tgtFrame="_blank" w:history="1">
        <w:r w:rsidRPr="005A7D46">
          <w:rPr>
            <w:rStyle w:val="a3"/>
            <w:color w:val="auto"/>
            <w:sz w:val="28"/>
            <w:szCs w:val="28"/>
            <w:u w:val="none"/>
          </w:rPr>
          <w:t>статьи 11</w:t>
        </w:r>
      </w:hyperlink>
      <w:r w:rsidRPr="005A7D46">
        <w:rPr>
          <w:sz w:val="28"/>
          <w:szCs w:val="28"/>
        </w:rPr>
        <w:t xml:space="preserve"> Закона о платежах и переводах денег, индивидуальные предприниматели и (или) юридические лица, осуществляющие отдельные виды деятельности и применяющие в соответствии с налоговым законодательством Республики Казахстан общеустановленный порядок расчетов с бюджетом, за исключением находящихся в местах отсутствия сети телекоммуникаций общего пользования, обязаны обеспечить установку и применение в местах осуществления своей деятельности оборудования (устройства), предназначенного для приема</w:t>
      </w:r>
      <w:proofErr w:type="gramEnd"/>
      <w:r w:rsidRPr="005A7D46">
        <w:rPr>
          <w:sz w:val="28"/>
          <w:szCs w:val="28"/>
        </w:rPr>
        <w:t xml:space="preserve"> платежей с использованием платежных карточек, а также принимать платежи с использованием платежных карточек.</w:t>
      </w:r>
    </w:p>
    <w:sectPr w:rsidR="00067E05" w:rsidRPr="005A7D46" w:rsidSect="005A7D46">
      <w:pgSz w:w="12240" w:h="15840"/>
      <w:pgMar w:top="1440" w:right="758"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067E05"/>
    <w:rsid w:val="00067E05"/>
    <w:rsid w:val="005A7D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67E05"/>
    <w:pPr>
      <w:spacing w:before="100" w:beforeAutospacing="1" w:after="100" w:afterAutospacing="1" w:line="240" w:lineRule="auto"/>
      <w:outlineLvl w:val="0"/>
    </w:pPr>
    <w:rPr>
      <w:rFonts w:ascii="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7E05"/>
    <w:rPr>
      <w:rFonts w:ascii="Times New Roman" w:hAnsi="Times New Roman" w:cs="Times New Roman"/>
      <w:b/>
      <w:bCs/>
      <w:kern w:val="36"/>
      <w:sz w:val="48"/>
      <w:szCs w:val="48"/>
    </w:rPr>
  </w:style>
  <w:style w:type="character" w:styleId="a3">
    <w:name w:val="Hyperlink"/>
    <w:basedOn w:val="a0"/>
    <w:uiPriority w:val="99"/>
    <w:semiHidden/>
    <w:unhideWhenUsed/>
    <w:rsid w:val="00067E05"/>
    <w:rPr>
      <w:color w:val="0000FF"/>
      <w:u w:val="single"/>
    </w:rPr>
  </w:style>
  <w:style w:type="paragraph" w:styleId="a4">
    <w:name w:val="Normal (Web)"/>
    <w:basedOn w:val="a"/>
    <w:uiPriority w:val="99"/>
    <w:semiHidden/>
    <w:unhideWhenUsed/>
    <w:rsid w:val="00067E05"/>
    <w:pPr>
      <w:spacing w:before="100" w:beforeAutospacing="1" w:after="100" w:afterAutospacing="1" w:line="240" w:lineRule="auto"/>
    </w:pPr>
    <w:rPr>
      <w:rFonts w:ascii="Times New Roman" w:hAnsi="Times New Roman" w:cs="Times New Roman"/>
      <w:sz w:val="24"/>
      <w:szCs w:val="24"/>
    </w:rPr>
  </w:style>
  <w:style w:type="character" w:styleId="a5">
    <w:name w:val="Emphasis"/>
    <w:basedOn w:val="a0"/>
    <w:uiPriority w:val="20"/>
    <w:qFormat/>
    <w:rsid w:val="00067E05"/>
    <w:rPr>
      <w:i/>
      <w:iCs/>
    </w:rPr>
  </w:style>
  <w:style w:type="character" w:styleId="a6">
    <w:name w:val="Strong"/>
    <w:basedOn w:val="a0"/>
    <w:uiPriority w:val="22"/>
    <w:qFormat/>
    <w:rsid w:val="00067E05"/>
    <w:rPr>
      <w:b/>
      <w:bCs/>
    </w:rPr>
  </w:style>
  <w:style w:type="paragraph" w:styleId="a7">
    <w:name w:val="Balloon Text"/>
    <w:basedOn w:val="a"/>
    <w:link w:val="a8"/>
    <w:uiPriority w:val="99"/>
    <w:semiHidden/>
    <w:unhideWhenUsed/>
    <w:rsid w:val="005A7D4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A7D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8418484">
      <w:marLeft w:val="0"/>
      <w:marRight w:val="0"/>
      <w:marTop w:val="0"/>
      <w:marBottom w:val="0"/>
      <w:divBdr>
        <w:top w:val="none" w:sz="0" w:space="0" w:color="auto"/>
        <w:left w:val="none" w:sz="0" w:space="0" w:color="auto"/>
        <w:bottom w:val="none" w:sz="0" w:space="0" w:color="auto"/>
        <w:right w:val="none" w:sz="0" w:space="0" w:color="auto"/>
      </w:divBdr>
    </w:div>
    <w:div w:id="421950160">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Legislation/low/440" TargetMode="External"/><Relationship Id="rId3" Type="http://schemas.openxmlformats.org/officeDocument/2006/relationships/webSettings" Target="webSettings.xml"/><Relationship Id="rId7" Type="http://schemas.openxmlformats.org/officeDocument/2006/relationships/hyperlink" Target="/sistema/pravovaya-baza/o-platezhakh-i-perevodakh-dene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sistema/pravovaya-baza/ob-utverzhdenii-form-pervichnykh-uchetnykh-dokumentov/" TargetMode="External"/><Relationship Id="rId11" Type="http://schemas.openxmlformats.org/officeDocument/2006/relationships/theme" Target="theme/theme1.xml"/><Relationship Id="rId5" Type="http://schemas.openxmlformats.org/officeDocument/2006/relationships/hyperlink" Target="/sistema/pravovaya-baza/prikaz-ministra-finansov-respubliki-kazakhstan-ot-31-marta-2015-goda-241/" TargetMode="External"/><Relationship Id="rId10" Type="http://schemas.openxmlformats.org/officeDocument/2006/relationships/fontTable" Target="fontTable.xml"/><Relationship Id="rId4" Type="http://schemas.openxmlformats.org/officeDocument/2006/relationships/hyperlink" Target="/Legislation/low/400" TargetMode="External"/><Relationship Id="rId9" Type="http://schemas.openxmlformats.org/officeDocument/2006/relationships/hyperlink" Target="/Legislation/low/4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1692</Words>
  <Characters>9646</Characters>
  <Application>Microsoft Office Word</Application>
  <DocSecurity>0</DocSecurity>
  <Lines>80</Lines>
  <Paragraphs>22</Paragraphs>
  <ScaleCrop>false</ScaleCrop>
  <Company/>
  <LinksUpToDate>false</LinksUpToDate>
  <CharactersWithSpaces>11316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2</cp:revision>
  <dcterms:created xsi:type="dcterms:W3CDTF">2021-01-17T16:30:00Z</dcterms:created>
  <dcterms:modified xsi:type="dcterms:W3CDTF">2021-01-17T16:34:00Z</dcterms:modified>
</cp:coreProperties>
</file>